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4053F" w14:textId="5CFFC5E8" w:rsidR="00912925" w:rsidRPr="00912925" w:rsidRDefault="00912925" w:rsidP="00912925">
      <w:pPr>
        <w:jc w:val="center"/>
        <w:rPr>
          <w:rFonts w:cstheme="minorHAnsi"/>
          <w:b/>
          <w:bCs/>
          <w:sz w:val="32"/>
          <w:szCs w:val="32"/>
          <w:u w:val="single"/>
        </w:rPr>
      </w:pPr>
      <w:r w:rsidRPr="00912925">
        <w:rPr>
          <w:rFonts w:cstheme="minorHAnsi"/>
          <w:b/>
          <w:bCs/>
          <w:sz w:val="32"/>
          <w:szCs w:val="32"/>
          <w:u w:val="single"/>
        </w:rPr>
        <w:t>Isanti County Analysis</w:t>
      </w:r>
    </w:p>
    <w:p w14:paraId="15D838D1" w14:textId="5B5C138C" w:rsidR="00912925" w:rsidRPr="00912925" w:rsidRDefault="00912925" w:rsidP="00912925">
      <w:pPr>
        <w:rPr>
          <w:rFonts w:cstheme="minorHAnsi"/>
        </w:rPr>
      </w:pPr>
      <w:r w:rsidRPr="00912925">
        <w:rPr>
          <w:rFonts w:cstheme="minorHAnsi"/>
        </w:rPr>
        <w:t>The existing situation</w:t>
      </w:r>
      <w:r w:rsidRPr="00912925">
        <w:rPr>
          <w:rFonts w:cstheme="minorHAnsi"/>
        </w:rPr>
        <w:t xml:space="preserve"> in Isanti County</w:t>
      </w:r>
      <w:r w:rsidRPr="00912925">
        <w:rPr>
          <w:rFonts w:cstheme="minorHAnsi"/>
        </w:rPr>
        <w:t>, with only</w:t>
      </w:r>
      <w:r w:rsidR="00204276">
        <w:rPr>
          <w:rFonts w:cstheme="minorHAnsi"/>
        </w:rPr>
        <w:t xml:space="preserve"> 2 of 19 </w:t>
      </w:r>
      <w:r w:rsidRPr="00912925">
        <w:rPr>
          <w:rFonts w:cstheme="minorHAnsi"/>
        </w:rPr>
        <w:t>precincts using them, already sets a pattern of relationship which, presumably could continue, i.e. County does not mandate use or non-use, and all municipalities choose to use or not.</w:t>
      </w:r>
      <w:r w:rsidR="00204276">
        <w:rPr>
          <w:rFonts w:cstheme="minorHAnsi"/>
        </w:rPr>
        <w:t xml:space="preserve"> Do we know what agreements exist now?</w:t>
      </w:r>
    </w:p>
    <w:p w14:paraId="16FBFBAA" w14:textId="51FA72F4" w:rsidR="00912925" w:rsidRPr="00912925" w:rsidRDefault="00912925" w:rsidP="00912925">
      <w:pPr>
        <w:rPr>
          <w:rFonts w:cstheme="minorHAnsi"/>
        </w:rPr>
      </w:pPr>
      <w:r w:rsidRPr="00912925">
        <w:rPr>
          <w:rFonts w:cstheme="minorHAnsi"/>
        </w:rPr>
        <w:t>Further considerations:</w:t>
      </w:r>
    </w:p>
    <w:p w14:paraId="5BF26C7E" w14:textId="77777777" w:rsidR="00912925" w:rsidRPr="00912925" w:rsidRDefault="00912925" w:rsidP="00912925">
      <w:pPr>
        <w:numPr>
          <w:ilvl w:val="0"/>
          <w:numId w:val="2"/>
        </w:numPr>
        <w:rPr>
          <w:rFonts w:cstheme="minorHAnsi"/>
        </w:rPr>
      </w:pPr>
      <w:r w:rsidRPr="00912925">
        <w:rPr>
          <w:rFonts w:cstheme="minorHAnsi"/>
        </w:rPr>
        <w:t>MS201.225 subd 1 enables county, municipality or school district each to independently decide if they will use poll pads or not.</w:t>
      </w:r>
    </w:p>
    <w:p w14:paraId="7E38FF67" w14:textId="77777777" w:rsidR="00912925" w:rsidRPr="00912925" w:rsidRDefault="00912925" w:rsidP="00912925">
      <w:pPr>
        <w:numPr>
          <w:ilvl w:val="0"/>
          <w:numId w:val="2"/>
        </w:numPr>
        <w:rPr>
          <w:rFonts w:cstheme="minorHAnsi"/>
        </w:rPr>
      </w:pPr>
      <w:r w:rsidRPr="00912925">
        <w:rPr>
          <w:rFonts w:cstheme="minorHAnsi"/>
        </w:rPr>
        <w:t>If the county wants to use them in any/all municipal precincts, then the county must obtain consent from the municipality (MS 201.221, subd. 4).</w:t>
      </w:r>
    </w:p>
    <w:p w14:paraId="6BAB0641" w14:textId="38BCBE9C" w:rsidR="00912925" w:rsidRPr="00912925" w:rsidRDefault="00912925" w:rsidP="00912925">
      <w:pPr>
        <w:numPr>
          <w:ilvl w:val="0"/>
          <w:numId w:val="2"/>
        </w:numPr>
        <w:rPr>
          <w:rFonts w:cstheme="minorHAnsi"/>
        </w:rPr>
      </w:pPr>
      <w:r w:rsidRPr="00912925">
        <w:rPr>
          <w:rFonts w:cstheme="minorHAnsi"/>
        </w:rPr>
        <w:t>If a municipality wants to use them, they may do so without county approval but may have to pay for them.</w:t>
      </w:r>
      <w:r>
        <w:rPr>
          <w:rFonts w:cstheme="minorHAnsi"/>
        </w:rPr>
        <w:t xml:space="preserve">  Isanti County is already accommodating use in two precincts</w:t>
      </w:r>
      <w:r w:rsidRPr="00912925">
        <w:rPr>
          <w:rFonts w:cstheme="minorHAnsi"/>
        </w:rPr>
        <w:t>.</w:t>
      </w:r>
    </w:p>
    <w:p w14:paraId="1B1BE4ED" w14:textId="77777777" w:rsidR="00912925" w:rsidRPr="00912925" w:rsidRDefault="00912925" w:rsidP="00912925">
      <w:pPr>
        <w:numPr>
          <w:ilvl w:val="0"/>
          <w:numId w:val="2"/>
        </w:numPr>
        <w:rPr>
          <w:rFonts w:cstheme="minorHAnsi"/>
        </w:rPr>
      </w:pPr>
      <w:r w:rsidRPr="00912925">
        <w:rPr>
          <w:rFonts w:cstheme="minorHAnsi"/>
        </w:rPr>
        <w:t>So, it appears that Isanti County has several options:</w:t>
      </w:r>
    </w:p>
    <w:p w14:paraId="182A0E93" w14:textId="77777777" w:rsidR="00912925" w:rsidRPr="00912925" w:rsidRDefault="00912925" w:rsidP="00912925">
      <w:pPr>
        <w:numPr>
          <w:ilvl w:val="1"/>
          <w:numId w:val="2"/>
        </w:numPr>
        <w:rPr>
          <w:rFonts w:cstheme="minorHAnsi"/>
        </w:rPr>
      </w:pPr>
      <w:r w:rsidRPr="00912925">
        <w:rPr>
          <w:rFonts w:cstheme="minorHAnsi"/>
        </w:rPr>
        <w:t>Make no changes but continue the existing use pattern and relationships.</w:t>
      </w:r>
    </w:p>
    <w:p w14:paraId="207DD2E7" w14:textId="77777777" w:rsidR="00912925" w:rsidRPr="00912925" w:rsidRDefault="00912925" w:rsidP="00912925">
      <w:pPr>
        <w:numPr>
          <w:ilvl w:val="1"/>
          <w:numId w:val="2"/>
        </w:numPr>
        <w:rPr>
          <w:rFonts w:cstheme="minorHAnsi"/>
        </w:rPr>
      </w:pPr>
      <w:r w:rsidRPr="00912925">
        <w:rPr>
          <w:rFonts w:cstheme="minorHAnsi"/>
        </w:rPr>
        <w:t>Offer to purchase units for all precincts and seek agreement from any municipalities that want to consent to use which triggers a use agreement.</w:t>
      </w:r>
    </w:p>
    <w:p w14:paraId="1610B5EC" w14:textId="77777777" w:rsidR="00912925" w:rsidRPr="00912925" w:rsidRDefault="00912925" w:rsidP="00912925">
      <w:pPr>
        <w:numPr>
          <w:ilvl w:val="1"/>
          <w:numId w:val="2"/>
        </w:numPr>
        <w:rPr>
          <w:rFonts w:cstheme="minorHAnsi"/>
        </w:rPr>
      </w:pPr>
      <w:r w:rsidRPr="00912925">
        <w:rPr>
          <w:rFonts w:cstheme="minorHAnsi"/>
        </w:rPr>
        <w:t>Not to offer to purchase for all precincts but acknowledge municipalities may purchase and use them on their own which may look like the existing pattern somewhat modified.</w:t>
      </w:r>
    </w:p>
    <w:p w14:paraId="1A1FD596" w14:textId="4E4B0B9F" w:rsidR="00912925" w:rsidRPr="00912925" w:rsidRDefault="00912925" w:rsidP="00912925">
      <w:pPr>
        <w:numPr>
          <w:ilvl w:val="1"/>
          <w:numId w:val="2"/>
        </w:numPr>
        <w:rPr>
          <w:rFonts w:cstheme="minorHAnsi"/>
        </w:rPr>
      </w:pPr>
      <w:r w:rsidRPr="00912925">
        <w:rPr>
          <w:rFonts w:cstheme="minorHAnsi"/>
        </w:rPr>
        <w:t> I don't think the county may prohibit municipalities from purchasing and using them on their own</w:t>
      </w:r>
      <w:r>
        <w:rPr>
          <w:rFonts w:cstheme="minorHAnsi"/>
        </w:rPr>
        <w:t>.</w:t>
      </w:r>
    </w:p>
    <w:p w14:paraId="52518D78" w14:textId="77777777" w:rsidR="00912925" w:rsidRPr="00912925" w:rsidRDefault="00912925" w:rsidP="00912925">
      <w:pPr>
        <w:numPr>
          <w:ilvl w:val="0"/>
          <w:numId w:val="2"/>
        </w:numPr>
        <w:rPr>
          <w:rFonts w:cstheme="minorHAnsi"/>
        </w:rPr>
      </w:pPr>
      <w:r w:rsidRPr="00912925">
        <w:rPr>
          <w:rFonts w:cstheme="minorHAnsi"/>
        </w:rPr>
        <w:t>The effect of these options should all be manageable within the existing working relationships among county and municipal election staffs.</w:t>
      </w:r>
    </w:p>
    <w:p w14:paraId="23EFA09B" w14:textId="7D468C17" w:rsidR="00912925" w:rsidRPr="00912925" w:rsidRDefault="00912925" w:rsidP="00912925">
      <w:pPr>
        <w:pStyle w:val="ListParagraph"/>
        <w:numPr>
          <w:ilvl w:val="0"/>
          <w:numId w:val="2"/>
        </w:numPr>
        <w:spacing w:after="0" w:line="240" w:lineRule="auto"/>
        <w:rPr>
          <w:rFonts w:eastAsia="Times New Roman" w:cstheme="minorHAnsi"/>
          <w:kern w:val="0"/>
          <w14:ligatures w14:val="none"/>
        </w:rPr>
      </w:pPr>
      <w:r w:rsidRPr="00912925">
        <w:rPr>
          <w:rFonts w:eastAsia="Times New Roman" w:cstheme="minorHAnsi"/>
          <w:kern w:val="0"/>
          <w14:ligatures w14:val="none"/>
        </w:rPr>
        <w:t xml:space="preserve">Overall regarding MS201.221, subd 1, </w:t>
      </w:r>
      <w:r w:rsidRPr="00912925">
        <w:rPr>
          <w:rFonts w:eastAsia="Times New Roman" w:cstheme="minorHAnsi"/>
          <w:b/>
          <w:bCs/>
          <w:kern w:val="0"/>
          <w14:ligatures w14:val="none"/>
        </w:rPr>
        <w:t>County Rules</w:t>
      </w:r>
      <w:r w:rsidRPr="00912925">
        <w:rPr>
          <w:rFonts w:eastAsia="Times New Roman" w:cstheme="minorHAnsi"/>
          <w:kern w:val="0"/>
          <w14:ligatures w14:val="none"/>
        </w:rPr>
        <w:t>:  the word "rules" is a noun, not a verb.  Therefore, the County may promulgate rules (noun) but not "rule" (verb) without consent.  The county must obtain governing body consent to implement.  This subdivision recognizes that counties may initiate leadership regarding county-municipal relationships but</w:t>
      </w:r>
      <w:r>
        <w:rPr>
          <w:rFonts w:eastAsia="Times New Roman" w:cstheme="minorHAnsi"/>
          <w:kern w:val="0"/>
          <w14:ligatures w14:val="none"/>
        </w:rPr>
        <w:t>,</w:t>
      </w:r>
      <w:r w:rsidRPr="00912925">
        <w:rPr>
          <w:rFonts w:eastAsia="Times New Roman" w:cstheme="minorHAnsi"/>
          <w:kern w:val="0"/>
          <w14:ligatures w14:val="none"/>
        </w:rPr>
        <w:t xml:space="preserve"> since 1987, may not impose their "rules" upon the municipalities. </w:t>
      </w:r>
    </w:p>
    <w:p w14:paraId="5CE927FE" w14:textId="41CDA66A" w:rsidR="00912925" w:rsidRPr="00912925" w:rsidRDefault="00912925" w:rsidP="00912925">
      <w:pPr>
        <w:pStyle w:val="ListParagraph"/>
        <w:numPr>
          <w:ilvl w:val="0"/>
          <w:numId w:val="2"/>
        </w:numPr>
        <w:spacing w:after="0" w:line="240" w:lineRule="auto"/>
        <w:rPr>
          <w:rFonts w:eastAsia="Times New Roman" w:cstheme="minorHAnsi"/>
          <w:kern w:val="0"/>
          <w14:ligatures w14:val="none"/>
        </w:rPr>
      </w:pPr>
      <w:r w:rsidRPr="00912925">
        <w:rPr>
          <w:rFonts w:eastAsia="Times New Roman" w:cstheme="minorHAnsi"/>
          <w:kern w:val="0"/>
          <w14:ligatures w14:val="none"/>
        </w:rPr>
        <w:t> Municipalities have significant direct control over their precincts as listed</w:t>
      </w:r>
      <w:r w:rsidR="00204276">
        <w:rPr>
          <w:rFonts w:eastAsia="Times New Roman" w:cstheme="minorHAnsi"/>
          <w:kern w:val="0"/>
          <w14:ligatures w14:val="none"/>
        </w:rPr>
        <w:t xml:space="preserve"> here</w:t>
      </w:r>
      <w:r w:rsidRPr="00912925">
        <w:rPr>
          <w:rFonts w:eastAsia="Times New Roman" w:cstheme="minorHAnsi"/>
          <w:kern w:val="0"/>
          <w14:ligatures w14:val="none"/>
        </w:rPr>
        <w:t xml:space="preserve"> (page 12 of our Legal Memo): </w:t>
      </w:r>
    </w:p>
    <w:p w14:paraId="77B02299" w14:textId="77777777" w:rsidR="00912925" w:rsidRPr="00912925" w:rsidRDefault="00912925" w:rsidP="00912925">
      <w:pPr>
        <w:pStyle w:val="ListParagraph"/>
        <w:numPr>
          <w:ilvl w:val="0"/>
          <w:numId w:val="2"/>
        </w:numPr>
        <w:spacing w:after="0" w:line="240" w:lineRule="auto"/>
        <w:rPr>
          <w:rFonts w:eastAsia="Times New Roman" w:cstheme="minorHAnsi"/>
          <w:kern w:val="0"/>
          <w14:ligatures w14:val="none"/>
        </w:rPr>
      </w:pPr>
      <w:r w:rsidRPr="00912925">
        <w:rPr>
          <w:rFonts w:eastAsia="Times New Roman" w:cstheme="minorHAnsi"/>
          <w:kern w:val="0"/>
          <w14:ligatures w14:val="none"/>
        </w:rPr>
        <w:t>    Municipalities govern precincts in the following respects: </w:t>
      </w:r>
    </w:p>
    <w:p w14:paraId="3B2C33EE" w14:textId="1C3D88D3" w:rsidR="00912925" w:rsidRPr="00C82A63" w:rsidRDefault="00912925" w:rsidP="00C82A63">
      <w:pPr>
        <w:spacing w:after="0" w:line="240" w:lineRule="auto"/>
        <w:ind w:firstLine="720"/>
        <w:rPr>
          <w:rFonts w:eastAsia="Times New Roman" w:cstheme="minorHAnsi"/>
          <w:kern w:val="0"/>
          <w14:ligatures w14:val="none"/>
        </w:rPr>
      </w:pPr>
      <w:proofErr w:type="spellStart"/>
      <w:r w:rsidRPr="00C82A63">
        <w:rPr>
          <w:rFonts w:eastAsia="Times New Roman" w:cstheme="minorHAnsi"/>
          <w:color w:val="000000"/>
          <w:kern w:val="0"/>
          <w14:ligatures w14:val="none"/>
        </w:rPr>
        <w:t>i</w:t>
      </w:r>
      <w:proofErr w:type="spellEnd"/>
      <w:r w:rsidRPr="00C82A63">
        <w:rPr>
          <w:rFonts w:eastAsia="Times New Roman" w:cstheme="minorHAnsi"/>
          <w:color w:val="000000"/>
          <w:kern w:val="0"/>
          <w14:ligatures w14:val="none"/>
        </w:rPr>
        <w:t>.   Create or modify boundaries &amp; numbers of voting precincts (204B.14, subd.1) </w:t>
      </w:r>
    </w:p>
    <w:p w14:paraId="29D0FE1D" w14:textId="77777777" w:rsidR="00912925" w:rsidRPr="00912925" w:rsidRDefault="00912925" w:rsidP="00204276">
      <w:pPr>
        <w:pStyle w:val="ListParagraph"/>
        <w:spacing w:after="0" w:line="240" w:lineRule="auto"/>
        <w:ind w:left="360"/>
        <w:rPr>
          <w:rFonts w:eastAsia="Times New Roman" w:cstheme="minorHAnsi"/>
          <w:kern w:val="0"/>
          <w14:ligatures w14:val="none"/>
        </w:rPr>
      </w:pPr>
      <w:r w:rsidRPr="00912925">
        <w:rPr>
          <w:rFonts w:eastAsia="Times New Roman" w:cstheme="minorHAnsi"/>
          <w:color w:val="000000"/>
          <w:kern w:val="0"/>
          <w14:ligatures w14:val="none"/>
        </w:rPr>
        <w:tab/>
        <w:t>ii.  Designate location of polling places (204B.16, subd 1) </w:t>
      </w:r>
    </w:p>
    <w:p w14:paraId="51B17168" w14:textId="77777777" w:rsidR="00912925" w:rsidRPr="00912925" w:rsidRDefault="00912925" w:rsidP="00204276">
      <w:pPr>
        <w:pStyle w:val="ListParagraph"/>
        <w:spacing w:after="0" w:line="240" w:lineRule="auto"/>
        <w:ind w:left="360"/>
        <w:rPr>
          <w:rFonts w:eastAsia="Times New Roman" w:cstheme="minorHAnsi"/>
          <w:kern w:val="0"/>
          <w14:ligatures w14:val="none"/>
        </w:rPr>
      </w:pPr>
      <w:r w:rsidRPr="00912925">
        <w:rPr>
          <w:rFonts w:eastAsia="Times New Roman" w:cstheme="minorHAnsi"/>
          <w:color w:val="000000"/>
          <w:kern w:val="0"/>
          <w14:ligatures w14:val="none"/>
        </w:rPr>
        <w:tab/>
        <w:t>iii. Solicit, qualify, and appoint election judges (204B.21, Sec.2) </w:t>
      </w:r>
    </w:p>
    <w:p w14:paraId="1F587894" w14:textId="77777777" w:rsidR="00912925" w:rsidRPr="00912925" w:rsidRDefault="00912925" w:rsidP="00204276">
      <w:pPr>
        <w:pStyle w:val="ListParagraph"/>
        <w:spacing w:after="0" w:line="240" w:lineRule="auto"/>
        <w:ind w:left="1080"/>
        <w:rPr>
          <w:rFonts w:eastAsia="Times New Roman" w:cstheme="minorHAnsi"/>
          <w:kern w:val="0"/>
          <w14:ligatures w14:val="none"/>
        </w:rPr>
      </w:pPr>
      <w:r w:rsidRPr="00912925">
        <w:rPr>
          <w:rFonts w:eastAsia="Times New Roman" w:cstheme="minorHAnsi"/>
          <w:color w:val="000000"/>
          <w:kern w:val="0"/>
          <w14:ligatures w14:val="none"/>
        </w:rPr>
        <w:lastRenderedPageBreak/>
        <w:t>iv. Provide supervision/direction to election judges as delegated (204B.25 subd. 1) </w:t>
      </w:r>
    </w:p>
    <w:p w14:paraId="2016786B" w14:textId="77777777" w:rsidR="00912925" w:rsidRPr="00912925" w:rsidRDefault="00912925" w:rsidP="00204276">
      <w:pPr>
        <w:pStyle w:val="ListParagraph"/>
        <w:spacing w:after="0" w:line="240" w:lineRule="auto"/>
        <w:ind w:left="1080"/>
        <w:rPr>
          <w:rFonts w:eastAsia="Times New Roman" w:cstheme="minorHAnsi"/>
          <w:kern w:val="0"/>
          <w14:ligatures w14:val="none"/>
        </w:rPr>
      </w:pPr>
      <w:r w:rsidRPr="00912925">
        <w:rPr>
          <w:rFonts w:eastAsia="Times New Roman" w:cstheme="minorHAnsi"/>
          <w:color w:val="000000"/>
          <w:kern w:val="0"/>
          <w14:ligatures w14:val="none"/>
        </w:rPr>
        <w:t>v.  Pay election judges (204B.31 &amp; 206.89, subd. 9 (1) </w:t>
      </w:r>
    </w:p>
    <w:p w14:paraId="1916729F" w14:textId="3D88C83F" w:rsidR="00912925" w:rsidRPr="00912925" w:rsidRDefault="00912925" w:rsidP="00C82A63">
      <w:pPr>
        <w:spacing w:after="0" w:line="240" w:lineRule="auto"/>
        <w:ind w:left="720" w:firstLine="360"/>
        <w:rPr>
          <w:rFonts w:eastAsia="Times New Roman" w:cstheme="minorHAnsi"/>
          <w:kern w:val="0"/>
          <w14:ligatures w14:val="none"/>
        </w:rPr>
      </w:pPr>
      <w:r w:rsidRPr="00912925">
        <w:rPr>
          <w:rFonts w:eastAsia="Times New Roman" w:cstheme="minorHAnsi"/>
          <w:color w:val="000000"/>
          <w:kern w:val="0"/>
          <w14:ligatures w14:val="none"/>
        </w:rPr>
        <w:t>vi. Administer election-day activities at the polls (204C) </w:t>
      </w:r>
    </w:p>
    <w:p w14:paraId="0D37F7C2" w14:textId="55E3B903" w:rsidR="00912925" w:rsidRPr="00912925" w:rsidRDefault="00912925" w:rsidP="00204276">
      <w:pPr>
        <w:pStyle w:val="ListParagraph"/>
        <w:spacing w:after="0" w:line="240" w:lineRule="auto"/>
        <w:ind w:left="1080"/>
        <w:rPr>
          <w:rFonts w:eastAsia="Times New Roman" w:cstheme="minorHAnsi"/>
          <w:kern w:val="0"/>
          <w14:ligatures w14:val="none"/>
        </w:rPr>
      </w:pPr>
      <w:r w:rsidRPr="00912925">
        <w:rPr>
          <w:rFonts w:eastAsia="Times New Roman" w:cstheme="minorHAnsi"/>
          <w:color w:val="000000"/>
          <w:kern w:val="0"/>
          <w14:ligatures w14:val="none"/>
        </w:rPr>
        <w:t>vii. Administer hand counting of ballots and votes in each precinct (204C.19-.21) </w:t>
      </w:r>
    </w:p>
    <w:p w14:paraId="37289795" w14:textId="4376DD72" w:rsidR="00912925" w:rsidRPr="00912925" w:rsidRDefault="00912925" w:rsidP="00C82A63">
      <w:pPr>
        <w:spacing w:after="0" w:line="240" w:lineRule="auto"/>
        <w:ind w:left="720" w:firstLine="360"/>
        <w:rPr>
          <w:rFonts w:eastAsia="Times New Roman" w:cstheme="minorHAnsi"/>
          <w:kern w:val="0"/>
          <w14:ligatures w14:val="none"/>
        </w:rPr>
      </w:pPr>
      <w:r w:rsidRPr="00912925">
        <w:rPr>
          <w:rFonts w:eastAsia="Times New Roman" w:cstheme="minorHAnsi"/>
          <w:color w:val="000000"/>
          <w:kern w:val="0"/>
          <w14:ligatures w14:val="none"/>
        </w:rPr>
        <w:t>viii.  Prepare unofficial ballots if necessary (204B.30) </w:t>
      </w:r>
    </w:p>
    <w:p w14:paraId="2B4BFB42" w14:textId="77777777" w:rsidR="00912925" w:rsidRPr="00912925" w:rsidRDefault="00912925" w:rsidP="00204276">
      <w:pPr>
        <w:spacing w:after="0" w:line="240" w:lineRule="auto"/>
        <w:ind w:left="720" w:firstLine="360"/>
        <w:rPr>
          <w:rFonts w:eastAsia="Times New Roman" w:cstheme="minorHAnsi"/>
          <w:kern w:val="0"/>
          <w14:ligatures w14:val="none"/>
        </w:rPr>
      </w:pPr>
      <w:r w:rsidRPr="00912925">
        <w:rPr>
          <w:rFonts w:eastAsia="Times New Roman" w:cstheme="minorHAnsi"/>
          <w:color w:val="000000"/>
          <w:kern w:val="0"/>
          <w14:ligatures w14:val="none"/>
        </w:rPr>
        <w:t>ix.   May administer Absentee Ballot Board (203B.121 &amp; 204B.19 to 204B.22) </w:t>
      </w:r>
    </w:p>
    <w:p w14:paraId="1CF2DB6F" w14:textId="77777777" w:rsidR="00912925" w:rsidRPr="00912925" w:rsidRDefault="00912925" w:rsidP="00912925">
      <w:pPr>
        <w:pStyle w:val="ListParagraph"/>
        <w:spacing w:after="0" w:line="240" w:lineRule="auto"/>
        <w:rPr>
          <w:rFonts w:eastAsia="Times New Roman" w:cstheme="minorHAnsi"/>
          <w:kern w:val="0"/>
          <w14:ligatures w14:val="none"/>
        </w:rPr>
      </w:pPr>
    </w:p>
    <w:p w14:paraId="2BD8FD9A" w14:textId="77777777" w:rsidR="00912925" w:rsidRPr="00912925" w:rsidRDefault="00912925" w:rsidP="00912925">
      <w:pPr>
        <w:pStyle w:val="ListParagraph"/>
        <w:numPr>
          <w:ilvl w:val="0"/>
          <w:numId w:val="2"/>
        </w:numPr>
        <w:spacing w:after="0" w:line="240" w:lineRule="auto"/>
        <w:rPr>
          <w:rFonts w:eastAsia="Times New Roman" w:cstheme="minorHAnsi"/>
          <w:kern w:val="0"/>
          <w14:ligatures w14:val="none"/>
        </w:rPr>
      </w:pPr>
      <w:r w:rsidRPr="00912925">
        <w:rPr>
          <w:rFonts w:eastAsia="Times New Roman" w:cstheme="minorHAnsi"/>
          <w:kern w:val="0"/>
          <w14:ligatures w14:val="none"/>
        </w:rPr>
        <w:t>The county board has the option to state their preference to not use poll pads and ask all municipalities to consent to that protocol.  The municipalities probably would agree rather than go it alone.  And the county board has the option to not delegate authority to their head elections official (the county auditor which is still an appointed official) to purchase and deploy them as structured in MS201.225, subd. 1.  Head election official designation of precincts to use poll pads is subordinate to the decision by the governing body to use or not.  It is an "if-then" sequence.  </w:t>
      </w:r>
    </w:p>
    <w:p w14:paraId="3E85D357" w14:textId="77777777" w:rsidR="00912925" w:rsidRPr="00912925" w:rsidRDefault="00912925" w:rsidP="00912925">
      <w:pPr>
        <w:pStyle w:val="ListParagraph"/>
        <w:spacing w:after="0" w:line="240" w:lineRule="auto"/>
        <w:rPr>
          <w:rFonts w:eastAsia="Times New Roman" w:cstheme="minorHAnsi"/>
          <w:kern w:val="0"/>
          <w14:ligatures w14:val="none"/>
        </w:rPr>
      </w:pPr>
    </w:p>
    <w:p w14:paraId="2F0974A4" w14:textId="77777777" w:rsidR="00912925" w:rsidRPr="00912925" w:rsidRDefault="00912925" w:rsidP="00912925">
      <w:pPr>
        <w:pStyle w:val="ListParagraph"/>
        <w:numPr>
          <w:ilvl w:val="0"/>
          <w:numId w:val="2"/>
        </w:numPr>
        <w:spacing w:after="0" w:line="240" w:lineRule="auto"/>
        <w:rPr>
          <w:rFonts w:eastAsia="Times New Roman" w:cstheme="minorHAnsi"/>
          <w:kern w:val="0"/>
          <w14:ligatures w14:val="none"/>
        </w:rPr>
      </w:pPr>
      <w:r w:rsidRPr="00912925">
        <w:rPr>
          <w:rFonts w:eastAsia="Times New Roman" w:cstheme="minorHAnsi"/>
          <w:kern w:val="0"/>
          <w14:ligatures w14:val="none"/>
        </w:rPr>
        <w:t>One last point: the county board also has an electoral obligation to represent the voting public (do they want to use poll pads?) and the interests of the election judges' views, perhaps as delivered via the municipal officials.  So, to use or not to use is not being made away from public view and input.</w:t>
      </w:r>
    </w:p>
    <w:p w14:paraId="298BA5CE" w14:textId="0414F9F8" w:rsidR="00825D14" w:rsidRPr="00912925" w:rsidRDefault="00825D14" w:rsidP="00912925">
      <w:pPr>
        <w:rPr>
          <w:rFonts w:cstheme="minorHAnsi"/>
        </w:rPr>
      </w:pPr>
    </w:p>
    <w:sectPr w:rsidR="00825D14" w:rsidRPr="00912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94485"/>
    <w:multiLevelType w:val="multilevel"/>
    <w:tmpl w:val="CB841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AE5D30"/>
    <w:multiLevelType w:val="multilevel"/>
    <w:tmpl w:val="A380D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7877544">
    <w:abstractNumId w:val="0"/>
  </w:num>
  <w:num w:numId="2" w16cid:durableId="306785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25"/>
    <w:rsid w:val="00177D05"/>
    <w:rsid w:val="00204276"/>
    <w:rsid w:val="006328C6"/>
    <w:rsid w:val="006B6955"/>
    <w:rsid w:val="00825D14"/>
    <w:rsid w:val="00912925"/>
    <w:rsid w:val="00C82A63"/>
    <w:rsid w:val="00D91EE0"/>
    <w:rsid w:val="00F65D3D"/>
    <w:rsid w:val="00FF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9FFF"/>
  <w15:chartTrackingRefBased/>
  <w15:docId w15:val="{A4283B3F-5483-4FBF-83D8-5B2CD2C3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9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29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29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29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29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2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9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29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29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29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29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2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925"/>
    <w:rPr>
      <w:rFonts w:eastAsiaTheme="majorEastAsia" w:cstheme="majorBidi"/>
      <w:color w:val="272727" w:themeColor="text1" w:themeTint="D8"/>
    </w:rPr>
  </w:style>
  <w:style w:type="paragraph" w:styleId="Title">
    <w:name w:val="Title"/>
    <w:basedOn w:val="Normal"/>
    <w:next w:val="Normal"/>
    <w:link w:val="TitleChar"/>
    <w:uiPriority w:val="10"/>
    <w:qFormat/>
    <w:rsid w:val="00912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925"/>
    <w:pPr>
      <w:spacing w:before="160"/>
      <w:jc w:val="center"/>
    </w:pPr>
    <w:rPr>
      <w:i/>
      <w:iCs/>
      <w:color w:val="404040" w:themeColor="text1" w:themeTint="BF"/>
    </w:rPr>
  </w:style>
  <w:style w:type="character" w:customStyle="1" w:styleId="QuoteChar">
    <w:name w:val="Quote Char"/>
    <w:basedOn w:val="DefaultParagraphFont"/>
    <w:link w:val="Quote"/>
    <w:uiPriority w:val="29"/>
    <w:rsid w:val="00912925"/>
    <w:rPr>
      <w:i/>
      <w:iCs/>
      <w:color w:val="404040" w:themeColor="text1" w:themeTint="BF"/>
    </w:rPr>
  </w:style>
  <w:style w:type="paragraph" w:styleId="ListParagraph">
    <w:name w:val="List Paragraph"/>
    <w:basedOn w:val="Normal"/>
    <w:uiPriority w:val="34"/>
    <w:qFormat/>
    <w:rsid w:val="00912925"/>
    <w:pPr>
      <w:ind w:left="720"/>
      <w:contextualSpacing/>
    </w:pPr>
  </w:style>
  <w:style w:type="character" w:styleId="IntenseEmphasis">
    <w:name w:val="Intense Emphasis"/>
    <w:basedOn w:val="DefaultParagraphFont"/>
    <w:uiPriority w:val="21"/>
    <w:qFormat/>
    <w:rsid w:val="00912925"/>
    <w:rPr>
      <w:i/>
      <w:iCs/>
      <w:color w:val="2F5496" w:themeColor="accent1" w:themeShade="BF"/>
    </w:rPr>
  </w:style>
  <w:style w:type="paragraph" w:styleId="IntenseQuote">
    <w:name w:val="Intense Quote"/>
    <w:basedOn w:val="Normal"/>
    <w:next w:val="Normal"/>
    <w:link w:val="IntenseQuoteChar"/>
    <w:uiPriority w:val="30"/>
    <w:qFormat/>
    <w:rsid w:val="00912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2925"/>
    <w:rPr>
      <w:i/>
      <w:iCs/>
      <w:color w:val="2F5496" w:themeColor="accent1" w:themeShade="BF"/>
    </w:rPr>
  </w:style>
  <w:style w:type="character" w:styleId="IntenseReference">
    <w:name w:val="Intense Reference"/>
    <w:basedOn w:val="DefaultParagraphFont"/>
    <w:uiPriority w:val="32"/>
    <w:qFormat/>
    <w:rsid w:val="00912925"/>
    <w:rPr>
      <w:b/>
      <w:bCs/>
      <w:smallCaps/>
      <w:color w:val="2F5496" w:themeColor="accent1" w:themeShade="BF"/>
      <w:spacing w:val="5"/>
    </w:rPr>
  </w:style>
  <w:style w:type="paragraph" w:styleId="NormalWeb">
    <w:name w:val="Normal (Web)"/>
    <w:basedOn w:val="Normal"/>
    <w:uiPriority w:val="99"/>
    <w:semiHidden/>
    <w:unhideWhenUsed/>
    <w:rsid w:val="0091292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49106">
      <w:bodyDiv w:val="1"/>
      <w:marLeft w:val="0"/>
      <w:marRight w:val="0"/>
      <w:marTop w:val="0"/>
      <w:marBottom w:val="0"/>
      <w:divBdr>
        <w:top w:val="none" w:sz="0" w:space="0" w:color="auto"/>
        <w:left w:val="none" w:sz="0" w:space="0" w:color="auto"/>
        <w:bottom w:val="none" w:sz="0" w:space="0" w:color="auto"/>
        <w:right w:val="none" w:sz="0" w:space="0" w:color="auto"/>
      </w:divBdr>
      <w:divsChild>
        <w:div w:id="1906715698">
          <w:marLeft w:val="0"/>
          <w:marRight w:val="0"/>
          <w:marTop w:val="0"/>
          <w:marBottom w:val="0"/>
          <w:divBdr>
            <w:top w:val="none" w:sz="0" w:space="0" w:color="auto"/>
            <w:left w:val="none" w:sz="0" w:space="0" w:color="auto"/>
            <w:bottom w:val="none" w:sz="0" w:space="0" w:color="auto"/>
            <w:right w:val="none" w:sz="0" w:space="0" w:color="auto"/>
          </w:divBdr>
        </w:div>
        <w:div w:id="101145572">
          <w:marLeft w:val="0"/>
          <w:marRight w:val="0"/>
          <w:marTop w:val="0"/>
          <w:marBottom w:val="0"/>
          <w:divBdr>
            <w:top w:val="none" w:sz="0" w:space="0" w:color="auto"/>
            <w:left w:val="none" w:sz="0" w:space="0" w:color="auto"/>
            <w:bottom w:val="none" w:sz="0" w:space="0" w:color="auto"/>
            <w:right w:val="none" w:sz="0" w:space="0" w:color="auto"/>
          </w:divBdr>
        </w:div>
        <w:div w:id="1423601176">
          <w:marLeft w:val="0"/>
          <w:marRight w:val="0"/>
          <w:marTop w:val="0"/>
          <w:marBottom w:val="0"/>
          <w:divBdr>
            <w:top w:val="none" w:sz="0" w:space="0" w:color="auto"/>
            <w:left w:val="none" w:sz="0" w:space="0" w:color="auto"/>
            <w:bottom w:val="none" w:sz="0" w:space="0" w:color="auto"/>
            <w:right w:val="none" w:sz="0" w:space="0" w:color="auto"/>
          </w:divBdr>
        </w:div>
        <w:div w:id="1562135374">
          <w:marLeft w:val="0"/>
          <w:marRight w:val="0"/>
          <w:marTop w:val="0"/>
          <w:marBottom w:val="0"/>
          <w:divBdr>
            <w:top w:val="none" w:sz="0" w:space="0" w:color="auto"/>
            <w:left w:val="none" w:sz="0" w:space="0" w:color="auto"/>
            <w:bottom w:val="none" w:sz="0" w:space="0" w:color="auto"/>
            <w:right w:val="none" w:sz="0" w:space="0" w:color="auto"/>
          </w:divBdr>
        </w:div>
      </w:divsChild>
    </w:div>
    <w:div w:id="1508639157">
      <w:bodyDiv w:val="1"/>
      <w:marLeft w:val="0"/>
      <w:marRight w:val="0"/>
      <w:marTop w:val="0"/>
      <w:marBottom w:val="0"/>
      <w:divBdr>
        <w:top w:val="none" w:sz="0" w:space="0" w:color="auto"/>
        <w:left w:val="none" w:sz="0" w:space="0" w:color="auto"/>
        <w:bottom w:val="none" w:sz="0" w:space="0" w:color="auto"/>
        <w:right w:val="none" w:sz="0" w:space="0" w:color="auto"/>
      </w:divBdr>
      <w:divsChild>
        <w:div w:id="1171947064">
          <w:marLeft w:val="0"/>
          <w:marRight w:val="0"/>
          <w:marTop w:val="0"/>
          <w:marBottom w:val="0"/>
          <w:divBdr>
            <w:top w:val="none" w:sz="0" w:space="0" w:color="auto"/>
            <w:left w:val="none" w:sz="0" w:space="0" w:color="auto"/>
            <w:bottom w:val="none" w:sz="0" w:space="0" w:color="auto"/>
            <w:right w:val="none" w:sz="0" w:space="0" w:color="auto"/>
          </w:divBdr>
        </w:div>
        <w:div w:id="1686907737">
          <w:marLeft w:val="0"/>
          <w:marRight w:val="0"/>
          <w:marTop w:val="0"/>
          <w:marBottom w:val="0"/>
          <w:divBdr>
            <w:top w:val="none" w:sz="0" w:space="0" w:color="auto"/>
            <w:left w:val="none" w:sz="0" w:space="0" w:color="auto"/>
            <w:bottom w:val="none" w:sz="0" w:space="0" w:color="auto"/>
            <w:right w:val="none" w:sz="0" w:space="0" w:color="auto"/>
          </w:divBdr>
        </w:div>
        <w:div w:id="423575854">
          <w:marLeft w:val="0"/>
          <w:marRight w:val="0"/>
          <w:marTop w:val="0"/>
          <w:marBottom w:val="0"/>
          <w:divBdr>
            <w:top w:val="none" w:sz="0" w:space="0" w:color="auto"/>
            <w:left w:val="none" w:sz="0" w:space="0" w:color="auto"/>
            <w:bottom w:val="none" w:sz="0" w:space="0" w:color="auto"/>
            <w:right w:val="none" w:sz="0" w:space="0" w:color="auto"/>
          </w:divBdr>
        </w:div>
        <w:div w:id="611590238">
          <w:marLeft w:val="0"/>
          <w:marRight w:val="0"/>
          <w:marTop w:val="0"/>
          <w:marBottom w:val="0"/>
          <w:divBdr>
            <w:top w:val="none" w:sz="0" w:space="0" w:color="auto"/>
            <w:left w:val="none" w:sz="0" w:space="0" w:color="auto"/>
            <w:bottom w:val="none" w:sz="0" w:space="0" w:color="auto"/>
            <w:right w:val="none" w:sz="0" w:space="0" w:color="auto"/>
          </w:divBdr>
        </w:div>
      </w:divsChild>
    </w:div>
    <w:div w:id="1749115164">
      <w:bodyDiv w:val="1"/>
      <w:marLeft w:val="0"/>
      <w:marRight w:val="0"/>
      <w:marTop w:val="0"/>
      <w:marBottom w:val="0"/>
      <w:divBdr>
        <w:top w:val="none" w:sz="0" w:space="0" w:color="auto"/>
        <w:left w:val="none" w:sz="0" w:space="0" w:color="auto"/>
        <w:bottom w:val="none" w:sz="0" w:space="0" w:color="auto"/>
        <w:right w:val="none" w:sz="0" w:space="0" w:color="auto"/>
      </w:divBdr>
      <w:divsChild>
        <w:div w:id="7412143">
          <w:marLeft w:val="0"/>
          <w:marRight w:val="0"/>
          <w:marTop w:val="0"/>
          <w:marBottom w:val="0"/>
          <w:divBdr>
            <w:top w:val="none" w:sz="0" w:space="0" w:color="auto"/>
            <w:left w:val="none" w:sz="0" w:space="0" w:color="auto"/>
            <w:bottom w:val="none" w:sz="0" w:space="0" w:color="auto"/>
            <w:right w:val="none" w:sz="0" w:space="0" w:color="auto"/>
          </w:divBdr>
        </w:div>
        <w:div w:id="1825857068">
          <w:marLeft w:val="0"/>
          <w:marRight w:val="0"/>
          <w:marTop w:val="0"/>
          <w:marBottom w:val="0"/>
          <w:divBdr>
            <w:top w:val="none" w:sz="0" w:space="0" w:color="auto"/>
            <w:left w:val="none" w:sz="0" w:space="0" w:color="auto"/>
            <w:bottom w:val="none" w:sz="0" w:space="0" w:color="auto"/>
            <w:right w:val="none" w:sz="0" w:space="0" w:color="auto"/>
          </w:divBdr>
        </w:div>
        <w:div w:id="1649748745">
          <w:marLeft w:val="0"/>
          <w:marRight w:val="0"/>
          <w:marTop w:val="0"/>
          <w:marBottom w:val="0"/>
          <w:divBdr>
            <w:top w:val="none" w:sz="0" w:space="0" w:color="auto"/>
            <w:left w:val="none" w:sz="0" w:space="0" w:color="auto"/>
            <w:bottom w:val="none" w:sz="0" w:space="0" w:color="auto"/>
            <w:right w:val="none" w:sz="0" w:space="0" w:color="auto"/>
          </w:divBdr>
        </w:div>
        <w:div w:id="436603561">
          <w:marLeft w:val="0"/>
          <w:marRight w:val="0"/>
          <w:marTop w:val="0"/>
          <w:marBottom w:val="0"/>
          <w:divBdr>
            <w:top w:val="none" w:sz="0" w:space="0" w:color="auto"/>
            <w:left w:val="none" w:sz="0" w:space="0" w:color="auto"/>
            <w:bottom w:val="none" w:sz="0" w:space="0" w:color="auto"/>
            <w:right w:val="none" w:sz="0" w:space="0" w:color="auto"/>
          </w:divBdr>
        </w:div>
        <w:div w:id="2102096972">
          <w:marLeft w:val="0"/>
          <w:marRight w:val="0"/>
          <w:marTop w:val="0"/>
          <w:marBottom w:val="0"/>
          <w:divBdr>
            <w:top w:val="none" w:sz="0" w:space="0" w:color="auto"/>
            <w:left w:val="none" w:sz="0" w:space="0" w:color="auto"/>
            <w:bottom w:val="none" w:sz="0" w:space="0" w:color="auto"/>
            <w:right w:val="none" w:sz="0" w:space="0" w:color="auto"/>
          </w:divBdr>
        </w:div>
        <w:div w:id="821771107">
          <w:marLeft w:val="0"/>
          <w:marRight w:val="0"/>
          <w:marTop w:val="0"/>
          <w:marBottom w:val="0"/>
          <w:divBdr>
            <w:top w:val="none" w:sz="0" w:space="0" w:color="auto"/>
            <w:left w:val="none" w:sz="0" w:space="0" w:color="auto"/>
            <w:bottom w:val="none" w:sz="0" w:space="0" w:color="auto"/>
            <w:right w:val="none" w:sz="0" w:space="0" w:color="auto"/>
          </w:divBdr>
        </w:div>
        <w:div w:id="1773429882">
          <w:marLeft w:val="0"/>
          <w:marRight w:val="0"/>
          <w:marTop w:val="0"/>
          <w:marBottom w:val="0"/>
          <w:divBdr>
            <w:top w:val="none" w:sz="0" w:space="0" w:color="auto"/>
            <w:left w:val="none" w:sz="0" w:space="0" w:color="auto"/>
            <w:bottom w:val="none" w:sz="0" w:space="0" w:color="auto"/>
            <w:right w:val="none" w:sz="0" w:space="0" w:color="auto"/>
          </w:divBdr>
        </w:div>
        <w:div w:id="1143426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Kirchner</dc:creator>
  <cp:keywords/>
  <dc:description/>
  <cp:lastModifiedBy>Robert Kirchner</cp:lastModifiedBy>
  <cp:revision>3</cp:revision>
  <dcterms:created xsi:type="dcterms:W3CDTF">2025-04-13T23:18:00Z</dcterms:created>
  <dcterms:modified xsi:type="dcterms:W3CDTF">2025-04-13T23:30:00Z</dcterms:modified>
</cp:coreProperties>
</file>